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4" w:type="pct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080"/>
        <w:gridCol w:w="3007"/>
        <w:gridCol w:w="1420"/>
        <w:gridCol w:w="3057"/>
      </w:tblGrid>
      <w:tr w:rsidR="00386B11" w:rsidRPr="00C0678A" w14:paraId="20F1DE7E" w14:textId="77777777" w:rsidTr="00BD47DC">
        <w:trPr>
          <w:cantSplit/>
          <w:trHeight w:val="387"/>
        </w:trPr>
        <w:tc>
          <w:tcPr>
            <w:tcW w:w="9564" w:type="dxa"/>
            <w:gridSpan w:val="4"/>
            <w:shd w:val="clear" w:color="auto" w:fill="225374"/>
            <w:vAlign w:val="center"/>
          </w:tcPr>
          <w:p w14:paraId="2FBA80F4" w14:textId="77777777" w:rsidR="00474BBD" w:rsidRPr="00BD47DC" w:rsidRDefault="00474BBD" w:rsidP="00BD47DC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D47DC">
              <w:rPr>
                <w:rFonts w:cstheme="minorHAnsi"/>
                <w:b/>
                <w:color w:val="FFFFFF" w:themeColor="background1"/>
              </w:rPr>
              <w:t>JOB DESCRIPTION</w:t>
            </w:r>
          </w:p>
        </w:tc>
      </w:tr>
      <w:tr w:rsidR="00474BBD" w:rsidRPr="00BD47DC" w14:paraId="71C5C7A2" w14:textId="77777777" w:rsidTr="00ED29B4">
        <w:tc>
          <w:tcPr>
            <w:tcW w:w="2080" w:type="dxa"/>
            <w:shd w:val="clear" w:color="auto" w:fill="225374"/>
            <w:vAlign w:val="center"/>
          </w:tcPr>
          <w:p w14:paraId="79F1570B" w14:textId="77777777" w:rsidR="00474BBD" w:rsidRPr="00BD47DC" w:rsidRDefault="00474BBD" w:rsidP="00ED29B4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Job title</w:t>
            </w:r>
          </w:p>
        </w:tc>
        <w:tc>
          <w:tcPr>
            <w:tcW w:w="7484" w:type="dxa"/>
            <w:gridSpan w:val="3"/>
            <w:vAlign w:val="center"/>
          </w:tcPr>
          <w:p w14:paraId="3AA547F1" w14:textId="333C32B9" w:rsidR="00474BBD" w:rsidRPr="00BD47DC" w:rsidRDefault="00E8080E" w:rsidP="00BB79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47DC">
              <w:rPr>
                <w:rFonts w:cstheme="minorHAnsi"/>
                <w:sz w:val="20"/>
                <w:szCs w:val="20"/>
              </w:rPr>
              <w:t>General Counsel</w:t>
            </w:r>
          </w:p>
        </w:tc>
      </w:tr>
      <w:tr w:rsidR="00474BBD" w:rsidRPr="00BD47DC" w14:paraId="3C20A709" w14:textId="77777777" w:rsidTr="00475375">
        <w:tc>
          <w:tcPr>
            <w:tcW w:w="2080" w:type="dxa"/>
            <w:shd w:val="clear" w:color="auto" w:fill="225374"/>
            <w:vAlign w:val="center"/>
          </w:tcPr>
          <w:p w14:paraId="4B887EF2" w14:textId="77777777" w:rsidR="00474BBD" w:rsidRPr="00BD47DC" w:rsidRDefault="00F76B17" w:rsidP="00ED29B4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Cs w:val="20"/>
                </w:rPr>
                <w:id w:val="784848460"/>
                <w:placeholder>
                  <w:docPart w:val="EC98CF49F0034C459CEAB780C5EE0A69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BD47DC">
                  <w:rPr>
                    <w:rFonts w:asciiTheme="minorHAnsi" w:hAnsiTheme="minorHAnsi" w:cstheme="minorHAnsi"/>
                    <w:color w:val="FFFFFF" w:themeColor="background1"/>
                    <w:szCs w:val="20"/>
                  </w:rPr>
                  <w:t>Location</w:t>
                </w:r>
              </w:sdtContent>
            </w:sdt>
            <w:r w:rsidR="00474BBD"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:</w:t>
            </w:r>
          </w:p>
        </w:tc>
        <w:tc>
          <w:tcPr>
            <w:tcW w:w="3007" w:type="dxa"/>
            <w:shd w:val="clear" w:color="auto" w:fill="auto"/>
            <w:vAlign w:val="center"/>
          </w:tcPr>
          <w:p w14:paraId="4E7AF5BC" w14:textId="77777777" w:rsidR="00474BBD" w:rsidRPr="00BD47DC" w:rsidRDefault="00474BBD" w:rsidP="00BB79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47DC">
              <w:rPr>
                <w:rFonts w:cstheme="minorHAnsi"/>
                <w:sz w:val="20"/>
                <w:szCs w:val="20"/>
              </w:rPr>
              <w:t>6 Bevis Marks, London EC3</w:t>
            </w:r>
            <w:r w:rsidR="00155FEA" w:rsidRPr="00BD47DC">
              <w:rPr>
                <w:rFonts w:cstheme="minorHAnsi"/>
                <w:sz w:val="20"/>
                <w:szCs w:val="20"/>
              </w:rPr>
              <w:t>A 7BA</w:t>
            </w:r>
          </w:p>
        </w:tc>
        <w:tc>
          <w:tcPr>
            <w:tcW w:w="1420" w:type="dxa"/>
            <w:shd w:val="clear" w:color="auto" w:fill="225374"/>
            <w:vAlign w:val="center"/>
          </w:tcPr>
          <w:p w14:paraId="5E3215BF" w14:textId="77777777" w:rsidR="00474BBD" w:rsidRPr="00BD47DC" w:rsidRDefault="00F76B17" w:rsidP="00ED29B4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Cs w:val="20"/>
                </w:rPr>
                <w:id w:val="1223096936"/>
                <w:placeholder>
                  <w:docPart w:val="E96402D627814F448362429A2391684A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BD47DC">
                  <w:rPr>
                    <w:rFonts w:asciiTheme="minorHAnsi" w:hAnsiTheme="minorHAnsi" w:cstheme="minorHAnsi"/>
                    <w:color w:val="FFFFFF" w:themeColor="background1"/>
                    <w:szCs w:val="20"/>
                  </w:rPr>
                  <w:t>Travel Required</w:t>
                </w:r>
              </w:sdtContent>
            </w:sdt>
            <w:r w:rsidR="00474BBD"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279222B" w14:textId="5585147C" w:rsidR="00474BBD" w:rsidRPr="00BD47DC" w:rsidRDefault="00F22FDB" w:rsidP="00BB79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47DC">
              <w:rPr>
                <w:rFonts w:cstheme="minorHAnsi"/>
                <w:sz w:val="20"/>
                <w:szCs w:val="20"/>
              </w:rPr>
              <w:t xml:space="preserve">Yes – occasional </w:t>
            </w:r>
          </w:p>
        </w:tc>
      </w:tr>
      <w:tr w:rsidR="00474BBD" w:rsidRPr="00BD47DC" w14:paraId="5DB22827" w14:textId="77777777" w:rsidTr="00475375">
        <w:tc>
          <w:tcPr>
            <w:tcW w:w="2080" w:type="dxa"/>
            <w:tcBorders>
              <w:bottom w:val="single" w:sz="4" w:space="0" w:color="000000"/>
            </w:tcBorders>
            <w:shd w:val="clear" w:color="auto" w:fill="225374"/>
            <w:vAlign w:val="center"/>
          </w:tcPr>
          <w:p w14:paraId="4BB4CED3" w14:textId="77777777" w:rsidR="00474BBD" w:rsidRPr="00BD47DC" w:rsidRDefault="00474BBD" w:rsidP="00ED29B4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Reporting To:</w:t>
            </w:r>
          </w:p>
        </w:tc>
        <w:tc>
          <w:tcPr>
            <w:tcW w:w="3007" w:type="dxa"/>
            <w:tcBorders>
              <w:bottom w:val="single" w:sz="4" w:space="0" w:color="000000"/>
            </w:tcBorders>
            <w:vAlign w:val="center"/>
          </w:tcPr>
          <w:p w14:paraId="726F4439" w14:textId="459178E5" w:rsidR="00474BBD" w:rsidRPr="00BD47DC" w:rsidRDefault="00D2469D" w:rsidP="00ED29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47DC">
              <w:rPr>
                <w:rFonts w:cstheme="minorHAnsi"/>
                <w:sz w:val="20"/>
                <w:szCs w:val="20"/>
              </w:rPr>
              <w:t>CEO</w:t>
            </w: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225374"/>
            <w:vAlign w:val="center"/>
          </w:tcPr>
          <w:p w14:paraId="31993B2A" w14:textId="77777777" w:rsidR="00474BBD" w:rsidRPr="00BD47DC" w:rsidRDefault="00F76B17" w:rsidP="00ED29B4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Cs w:val="20"/>
                </w:rPr>
                <w:id w:val="-538278110"/>
                <w:placeholder>
                  <w:docPart w:val="9D81113B42F749D394C8AADE2A24B07D"/>
                </w:placeholder>
                <w:showingPlcHdr/>
                <w15:appearance w15:val="hidden"/>
              </w:sdtPr>
              <w:sdtEndPr/>
              <w:sdtContent>
                <w:r w:rsidR="00474BBD" w:rsidRPr="00BD47DC">
                  <w:rPr>
                    <w:rFonts w:asciiTheme="minorHAnsi" w:hAnsiTheme="minorHAnsi" w:cstheme="minorHAnsi"/>
                    <w:color w:val="FFFFFF" w:themeColor="background1"/>
                    <w:szCs w:val="20"/>
                  </w:rPr>
                  <w:t>Position Type</w:t>
                </w:r>
              </w:sdtContent>
            </w:sdt>
            <w:r w:rsidR="00474BBD"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61970474"/>
            <w:placeholder>
              <w:docPart w:val="1FEE9F67A7B0441BA60F549460E5918A"/>
            </w:placeholder>
            <w15:appearance w15:val="hidden"/>
          </w:sdtPr>
          <w:sdtEndPr/>
          <w:sdtContent>
            <w:tc>
              <w:tcPr>
                <w:tcW w:w="3057" w:type="dxa"/>
                <w:tcBorders>
                  <w:bottom w:val="single" w:sz="4" w:space="0" w:color="000000"/>
                </w:tcBorders>
                <w:vAlign w:val="center"/>
              </w:tcPr>
              <w:p w14:paraId="5E7F88DB" w14:textId="255D8BA4" w:rsidR="00474BBD" w:rsidRPr="00BD47DC" w:rsidRDefault="00A23B2F" w:rsidP="00475375">
                <w:pPr>
                  <w:spacing w:after="0" w:line="240" w:lineRule="auto"/>
                  <w:rPr>
                    <w:rFonts w:cstheme="minorHAnsi"/>
                    <w:sz w:val="20"/>
                    <w:szCs w:val="20"/>
                  </w:rPr>
                </w:pPr>
                <w:r w:rsidRPr="00BD47DC">
                  <w:rPr>
                    <w:rFonts w:cstheme="minorHAnsi"/>
                    <w:sz w:val="20"/>
                    <w:szCs w:val="20"/>
                  </w:rPr>
                  <w:t>Full time</w:t>
                </w:r>
              </w:p>
            </w:tc>
          </w:sdtContent>
        </w:sdt>
      </w:tr>
      <w:tr w:rsidR="00386B11" w:rsidRPr="00BD47DC" w14:paraId="2842A9AD" w14:textId="77777777" w:rsidTr="000F7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225374"/>
          </w:tcPr>
          <w:p w14:paraId="16BB3DE8" w14:textId="77777777" w:rsidR="00474BBD" w:rsidRPr="00BD47DC" w:rsidRDefault="00474BBD" w:rsidP="00940BFD">
            <w:pPr>
              <w:pStyle w:val="Heading2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r w:rsidRPr="00BD47DC">
              <w:rPr>
                <w:rFonts w:asciiTheme="minorHAnsi" w:hAnsiTheme="minorHAnsi" w:cstheme="minorHAnsi"/>
                <w:color w:val="FFFFFF" w:themeColor="background1"/>
                <w:szCs w:val="20"/>
              </w:rPr>
              <w:t>About the role</w:t>
            </w:r>
          </w:p>
        </w:tc>
      </w:tr>
      <w:tr w:rsidR="00474BBD" w:rsidRPr="00C0678A" w14:paraId="204D382F" w14:textId="77777777" w:rsidTr="00714A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7414C3" w14:textId="6ACC4B3F" w:rsidR="003A52B9" w:rsidRPr="00BD47DC" w:rsidRDefault="00A23B2F" w:rsidP="00BD47DC">
            <w:pPr>
              <w:pStyle w:val="Heading2"/>
              <w:jc w:val="both"/>
              <w:rPr>
                <w:rFonts w:cstheme="minorHAnsi"/>
                <w:szCs w:val="20"/>
                <w:lang w:val="en"/>
              </w:rPr>
            </w:pPr>
            <w:r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This is an exciting opportunity to </w:t>
            </w:r>
            <w:r w:rsidR="00921C0A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lead</w:t>
            </w:r>
            <w:r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The Private Infrastructure Development Group Ltd (</w:t>
            </w:r>
            <w:r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PIDG Ltd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)</w:t>
            </w:r>
            <w:r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’s legal function, overseeing all legal activities within the company.</w:t>
            </w:r>
            <w:r w:rsidR="00921C0A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The role will require </w:t>
            </w:r>
            <w:r w:rsidR="008332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an ability to </w:t>
            </w:r>
            <w:r w:rsidR="0093791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work at both a </w:t>
            </w:r>
            <w:r w:rsidR="008332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strategic and operational </w:t>
            </w:r>
            <w:r w:rsidR="0093791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level, </w:t>
            </w:r>
            <w:r w:rsidR="00CC1898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working </w:t>
            </w:r>
            <w:r w:rsidR="00D53A52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closely with </w:t>
            </w:r>
            <w:r w:rsidR="00CC1898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a wide range of </w:t>
            </w:r>
            <w:r w:rsidR="00E63E36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internal stakeholders</w:t>
            </w:r>
            <w:r w:rsidR="00CC1898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. </w:t>
            </w:r>
            <w:r w:rsidR="00E63E36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The 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General Counsel </w:t>
            </w:r>
            <w:r w:rsidR="00E63E36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will work closely with </w:t>
            </w:r>
            <w:r w:rsidR="00BE724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PIDG Ltd.’s</w:t>
            </w:r>
            <w:r w:rsidR="005971D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Company Secretary and with </w:t>
            </w:r>
            <w:r w:rsidR="00E63E36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legal counterparts in Group companies, as well as oversee a small team in PIDG L</w:t>
            </w:r>
            <w:r w:rsidR="001F2135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t</w:t>
            </w:r>
            <w:r w:rsidR="00E63E36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d. </w:t>
            </w:r>
            <w:r w:rsidR="00ED533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The </w:t>
            </w:r>
            <w:r w:rsidR="00F308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General Counsel will also work with the </w:t>
            </w:r>
            <w:r w:rsidR="00ED533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Head of HR</w:t>
            </w:r>
            <w:r w:rsidR="00F308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to</w:t>
            </w:r>
            <w:r w:rsidR="00ED533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support the CEO and </w:t>
            </w:r>
            <w:r w:rsidR="00F46277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PIDG Ltd.’s executive team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 on </w:t>
            </w:r>
            <w:r w:rsidR="00F308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employment </w:t>
            </w:r>
            <w:r w:rsidR="00BF08C4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law 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issues</w:t>
            </w:r>
            <w:r w:rsidR="00F308ED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 xml:space="preserve">, where </w:t>
            </w:r>
            <w:r w:rsidR="00F57F33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necessary</w:t>
            </w:r>
            <w:r w:rsidR="00ED5330" w:rsidRPr="00BD47DC">
              <w:rPr>
                <w:rFonts w:asciiTheme="minorHAnsi" w:hAnsiTheme="minorHAnsi" w:cstheme="minorHAnsi"/>
                <w:b w:val="0"/>
                <w:bCs/>
                <w:szCs w:val="20"/>
              </w:rPr>
              <w:t>.</w:t>
            </w:r>
          </w:p>
        </w:tc>
      </w:tr>
      <w:tr w:rsidR="00386B11" w:rsidRPr="00BD47DC" w14:paraId="0B6BB7FF" w14:textId="77777777" w:rsidTr="000F7D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225374"/>
          </w:tcPr>
          <w:p w14:paraId="4D713785" w14:textId="77777777" w:rsidR="00474BBD" w:rsidRPr="00BD47DC" w:rsidRDefault="00F76B17" w:rsidP="00D55114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FFFFFF" w:themeColor="background1"/>
                  <w:szCs w:val="20"/>
                </w:rPr>
                <w:id w:val="775449109"/>
                <w:placeholder>
                  <w:docPart w:val="9EFD97E5D09C4F8597FDE9B3DA6763AF"/>
                </w:placeholder>
                <w:temporary/>
                <w:showingPlcHdr/>
                <w15:appearance w15:val="hidden"/>
              </w:sdtPr>
              <w:sdtEndPr/>
              <w:sdtContent>
                <w:r w:rsidR="00474BBD" w:rsidRPr="00BD47DC">
                  <w:rPr>
                    <w:rFonts w:asciiTheme="minorHAnsi" w:hAnsiTheme="minorHAnsi" w:cstheme="minorHAnsi"/>
                    <w:color w:val="FFFFFF" w:themeColor="background1"/>
                    <w:szCs w:val="20"/>
                  </w:rPr>
                  <w:t>Job Description</w:t>
                </w:r>
              </w:sdtContent>
            </w:sdt>
          </w:p>
        </w:tc>
      </w:tr>
      <w:tr w:rsidR="00155FEA" w:rsidRPr="00BD47DC" w14:paraId="43069C66" w14:textId="77777777" w:rsidTr="00155F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564" w:type="dxa"/>
            <w:gridSpan w:val="4"/>
            <w:tcBorders>
              <w:top w:val="single" w:sz="4" w:space="0" w:color="000000"/>
            </w:tcBorders>
            <w:shd w:val="clear" w:color="auto" w:fill="FFFFFF" w:themeFill="background1"/>
          </w:tcPr>
          <w:p w14:paraId="1061AD93" w14:textId="461575CA" w:rsidR="00155FEA" w:rsidRPr="00BD47DC" w:rsidRDefault="00155FEA" w:rsidP="00841872">
            <w:pPr>
              <w:pStyle w:val="Heading1"/>
              <w:spacing w:before="0" w:after="0"/>
              <w:rPr>
                <w:rFonts w:asciiTheme="minorHAnsi" w:hAnsiTheme="minorHAnsi" w:cstheme="minorHAnsi"/>
                <w:color w:val="212B4C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color w:val="212B4C"/>
                <w:sz w:val="20"/>
                <w:szCs w:val="20"/>
              </w:rPr>
              <w:t>ROLE AND RESPONSIBILITIES</w:t>
            </w:r>
          </w:p>
          <w:p w14:paraId="75A26FB0" w14:textId="77777777" w:rsidR="00BD47DC" w:rsidRPr="00BD47DC" w:rsidRDefault="00BD47DC" w:rsidP="00841872">
            <w:pPr>
              <w:spacing w:after="0" w:line="240" w:lineRule="auto"/>
              <w:ind w:right="263"/>
              <w:rPr>
                <w:b/>
                <w:bCs/>
                <w:sz w:val="20"/>
                <w:szCs w:val="20"/>
              </w:rPr>
            </w:pPr>
          </w:p>
          <w:p w14:paraId="2D6063B9" w14:textId="5C16E6D5" w:rsidR="00A23B2F" w:rsidRPr="00BD47DC" w:rsidRDefault="00A23B2F" w:rsidP="00841872">
            <w:pPr>
              <w:spacing w:after="0" w:line="240" w:lineRule="auto"/>
              <w:ind w:right="263"/>
              <w:rPr>
                <w:b/>
                <w:bCs/>
                <w:sz w:val="20"/>
                <w:szCs w:val="20"/>
              </w:rPr>
            </w:pPr>
            <w:r w:rsidRPr="00BD47DC">
              <w:rPr>
                <w:b/>
                <w:bCs/>
                <w:sz w:val="20"/>
                <w:szCs w:val="20"/>
              </w:rPr>
              <w:t>Governance and legal oversight</w:t>
            </w:r>
          </w:p>
          <w:p w14:paraId="22B0DF12" w14:textId="45E7ADB4" w:rsidR="00A23B2F" w:rsidRPr="00BD47DC" w:rsidRDefault="00F46277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Providing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65BB6" w:rsidRPr="00BD47DC">
              <w:rPr>
                <w:rFonts w:asciiTheme="minorHAnsi" w:hAnsiTheme="minorHAnsi" w:cs="Calibri"/>
                <w:sz w:val="20"/>
                <w:szCs w:val="20"/>
              </w:rPr>
              <w:t>legal advice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C65BB6" w:rsidRPr="00BD47DC">
              <w:rPr>
                <w:rFonts w:asciiTheme="minorHAnsi" w:hAnsiTheme="minorHAnsi" w:cs="Calibri"/>
                <w:sz w:val="20"/>
                <w:szCs w:val="20"/>
              </w:rPr>
              <w:t xml:space="preserve">to the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b</w:t>
            </w:r>
            <w:r w:rsidR="00C65BB6" w:rsidRPr="00BD47DC">
              <w:rPr>
                <w:rFonts w:asciiTheme="minorHAnsi" w:hAnsiTheme="minorHAnsi" w:cs="Calibri"/>
                <w:sz w:val="20"/>
                <w:szCs w:val="20"/>
              </w:rPr>
              <w:t xml:space="preserve">oard and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C65BB6" w:rsidRPr="00BD47DC">
              <w:rPr>
                <w:rFonts w:asciiTheme="minorHAnsi" w:hAnsiTheme="minorHAnsi" w:cs="Calibri"/>
                <w:sz w:val="20"/>
                <w:szCs w:val="20"/>
              </w:rPr>
              <w:t xml:space="preserve">xecutive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t</w:t>
            </w:r>
            <w:r w:rsidR="00C65BB6" w:rsidRPr="00BD47DC">
              <w:rPr>
                <w:rFonts w:asciiTheme="minorHAnsi" w:hAnsiTheme="minorHAnsi" w:cs="Calibri"/>
                <w:sz w:val="20"/>
                <w:szCs w:val="20"/>
              </w:rPr>
              <w:t xml:space="preserve">eam 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on a </w:t>
            </w:r>
            <w:r w:rsidR="00DC41B6" w:rsidRPr="00BD47DC">
              <w:rPr>
                <w:rFonts w:asciiTheme="minorHAnsi" w:hAnsiTheme="minorHAnsi" w:cs="Calibri"/>
                <w:sz w:val="20"/>
                <w:szCs w:val="20"/>
              </w:rPr>
              <w:t xml:space="preserve">wide 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variety of legal issues</w:t>
            </w:r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 xml:space="preserve">, </w:t>
            </w:r>
            <w:proofErr w:type="gramStart"/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>in particular on</w:t>
            </w:r>
            <w:proofErr w:type="gramEnd"/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 xml:space="preserve"> areas of sensitivity to the Owners and PIDG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D5A8743" w14:textId="63FFAEDA" w:rsidR="00EA497D" w:rsidRPr="00BD47DC" w:rsidRDefault="005B7351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Working with the Company Secretary, p</w:t>
            </w:r>
            <w:r w:rsidR="00EA497D" w:rsidRPr="00BD47DC">
              <w:rPr>
                <w:rFonts w:asciiTheme="minorHAnsi" w:hAnsiTheme="minorHAnsi" w:cs="Calibri"/>
                <w:sz w:val="20"/>
                <w:szCs w:val="20"/>
              </w:rPr>
              <w:t xml:space="preserve">roviding strategic legal advice to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 xml:space="preserve">the board and executive team on </w:t>
            </w:r>
            <w:r w:rsidR="00EA497D" w:rsidRPr="00BD47DC">
              <w:rPr>
                <w:rFonts w:asciiTheme="minorHAnsi" w:hAnsiTheme="minorHAnsi" w:cs="Calibri"/>
                <w:sz w:val="20"/>
                <w:szCs w:val="20"/>
              </w:rPr>
              <w:t xml:space="preserve">regulatory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issues</w:t>
            </w:r>
            <w:r w:rsidR="00EA497D" w:rsidRPr="00BD47DC">
              <w:rPr>
                <w:rFonts w:asciiTheme="minorHAnsi" w:hAnsiTheme="minorHAnsi" w:cs="Calibri"/>
                <w:sz w:val="20"/>
                <w:szCs w:val="20"/>
              </w:rPr>
              <w:t xml:space="preserve">, corporate </w:t>
            </w:r>
            <w:proofErr w:type="gramStart"/>
            <w:r w:rsidR="00EA497D" w:rsidRPr="00BD47DC">
              <w:rPr>
                <w:rFonts w:asciiTheme="minorHAnsi" w:hAnsiTheme="minorHAnsi" w:cs="Calibri"/>
                <w:sz w:val="20"/>
                <w:szCs w:val="20"/>
              </w:rPr>
              <w:t>governance</w:t>
            </w:r>
            <w:proofErr w:type="gramEnd"/>
            <w:r w:rsidR="00EA497D" w:rsidRPr="00BD47DC">
              <w:rPr>
                <w:rFonts w:asciiTheme="minorHAnsi" w:hAnsiTheme="minorHAnsi" w:cs="Calibri"/>
                <w:sz w:val="20"/>
                <w:szCs w:val="20"/>
              </w:rPr>
              <w:t xml:space="preserve"> and risk management matters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, including new and evolving risks for the company and group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66A8689" w14:textId="2D220C7B" w:rsidR="00A23B2F" w:rsidRPr="00BD47DC" w:rsidRDefault="009A6373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W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orking across the Group to align third party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legal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 engagements where </w:t>
            </w:r>
            <w:proofErr w:type="gramStart"/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appropriate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, and</w:t>
            </w:r>
            <w:proofErr w:type="gramEnd"/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establishing a legal panel for PIDG Ltd if necessary.</w:t>
            </w:r>
          </w:p>
          <w:p w14:paraId="6BC14D01" w14:textId="7082A06D" w:rsidR="00BF08C4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Advising executives within PIDG Ltd</w:t>
            </w:r>
            <w:r w:rsidR="00BF08C4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A6373" w:rsidRPr="00BD47DC">
              <w:rPr>
                <w:sz w:val="20"/>
                <w:szCs w:val="20"/>
              </w:rPr>
              <w:t>on their obligations under English law and under the various agreements that PIDG Ltd is a party to, including with the Owners</w:t>
            </w:r>
            <w:r w:rsidR="00BF08C4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0543EDF1" w14:textId="62E3C094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Researching and anticipating legal issues that could impact PIDG Ltd and the wider Group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A0BD8A5" w14:textId="565FD05F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/>
                <w:sz w:val="20"/>
                <w:szCs w:val="20"/>
              </w:rPr>
              <w:t>Advising on the establishment of corporate entities within the Group</w:t>
            </w:r>
            <w:r w:rsidR="00BE7243" w:rsidRPr="00BD47DC">
              <w:rPr>
                <w:rFonts w:asciiTheme="minorHAnsi" w:hAnsiTheme="minorHAnsi"/>
                <w:sz w:val="20"/>
                <w:szCs w:val="20"/>
              </w:rPr>
              <w:t xml:space="preserve"> and the legal structure of the Group</w:t>
            </w:r>
            <w:r w:rsidR="00BD47DC" w:rsidRPr="00BD47D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35F80BC" w14:textId="77777777" w:rsidR="00A23B2F" w:rsidRPr="00BD47DC" w:rsidRDefault="00A23B2F" w:rsidP="00841872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D47DC">
              <w:rPr>
                <w:rFonts w:cs="Calibri"/>
                <w:b/>
                <w:bCs/>
                <w:sz w:val="20"/>
                <w:szCs w:val="20"/>
              </w:rPr>
              <w:t>Legal Operations</w:t>
            </w:r>
          </w:p>
          <w:p w14:paraId="61DA96B1" w14:textId="34C9A7DA" w:rsidR="00A23B2F" w:rsidRPr="00BD47DC" w:rsidRDefault="00A23B2F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Managing the </w:t>
            </w:r>
            <w:r w:rsidR="006144B5" w:rsidRPr="00BD47DC">
              <w:rPr>
                <w:rFonts w:asciiTheme="minorHAnsi" w:hAnsiTheme="minorHAnsi" w:cs="Calibri"/>
                <w:sz w:val="20"/>
                <w:szCs w:val="20"/>
              </w:rPr>
              <w:t xml:space="preserve">small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PIDG Ltd Legal Team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19D401CF" w14:textId="373919C8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Working closely with the General Counsels of PIDG Group companies and/or the third</w:t>
            </w:r>
            <w:r w:rsidR="003B6E91" w:rsidRPr="00BD47DC">
              <w:rPr>
                <w:rFonts w:asciiTheme="minorHAnsi" w:hAnsiTheme="minorHAnsi" w:cs="Calibri"/>
                <w:sz w:val="20"/>
                <w:szCs w:val="20"/>
              </w:rPr>
              <w:t>-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party manager</w:t>
            </w:r>
            <w:r w:rsidR="001F2135" w:rsidRPr="00BD47DC"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of a PIDG company </w:t>
            </w:r>
            <w:r w:rsidR="00C559E9" w:rsidRPr="00BD47DC">
              <w:rPr>
                <w:rFonts w:asciiTheme="minorHAnsi" w:hAnsiTheme="minorHAnsi" w:cs="Calibri"/>
                <w:sz w:val="20"/>
                <w:szCs w:val="20"/>
              </w:rPr>
              <w:t xml:space="preserve">to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provid</w:t>
            </w:r>
            <w:r w:rsidR="00C559E9" w:rsidRPr="00BD47DC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or seek guidance where relevant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5561F30" w14:textId="249EE15A" w:rsidR="00A23B2F" w:rsidRPr="00BD47DC" w:rsidRDefault="00A23B2F" w:rsidP="00BD47D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580" w:right="240" w:hanging="284"/>
              <w:rPr>
                <w:rFonts w:cs="Calibri"/>
                <w:sz w:val="20"/>
                <w:szCs w:val="20"/>
              </w:rPr>
            </w:pPr>
            <w:r w:rsidRPr="00BD47DC">
              <w:rPr>
                <w:rFonts w:eastAsia="Arial" w:cs="Calibri"/>
                <w:sz w:val="20"/>
                <w:szCs w:val="20"/>
                <w:lang w:eastAsia="en-GB"/>
              </w:rPr>
              <w:t xml:space="preserve">Proactively engage with the third-party managers of GuarantCo and </w:t>
            </w:r>
            <w:r w:rsidR="00BE7243" w:rsidRPr="00BD47DC">
              <w:rPr>
                <w:rFonts w:eastAsia="Arial" w:cs="Calibri"/>
                <w:sz w:val="20"/>
                <w:szCs w:val="20"/>
                <w:lang w:eastAsia="en-GB"/>
              </w:rPr>
              <w:t>T</w:t>
            </w:r>
            <w:r w:rsidRPr="00BD47DC">
              <w:rPr>
                <w:rFonts w:eastAsia="Arial" w:cs="Calibri"/>
                <w:sz w:val="20"/>
                <w:szCs w:val="20"/>
                <w:lang w:eastAsia="en-GB"/>
              </w:rPr>
              <w:t xml:space="preserve">he Emerging Africa Infrastructure Fund and Chair a GC Working Group (to include the General Counsels/legal representatives from the </w:t>
            </w:r>
            <w:r w:rsidR="001F2135" w:rsidRPr="00BD47DC">
              <w:rPr>
                <w:rFonts w:eastAsia="Arial" w:cs="Calibri"/>
                <w:sz w:val="20"/>
                <w:szCs w:val="20"/>
                <w:lang w:eastAsia="en-GB"/>
              </w:rPr>
              <w:t>third-party</w:t>
            </w:r>
            <w:r w:rsidRPr="00BD47DC">
              <w:rPr>
                <w:rFonts w:eastAsia="Arial" w:cs="Calibri"/>
                <w:sz w:val="20"/>
                <w:szCs w:val="20"/>
                <w:lang w:eastAsia="en-GB"/>
              </w:rPr>
              <w:t xml:space="preserve"> managers) to explore opportunities for collaboration on legal related initiatives</w:t>
            </w:r>
            <w:r w:rsidR="00BD47DC" w:rsidRPr="00BD47DC">
              <w:rPr>
                <w:rFonts w:eastAsia="Arial" w:cs="Calibri"/>
                <w:sz w:val="20"/>
                <w:szCs w:val="20"/>
                <w:lang w:eastAsia="en-GB"/>
              </w:rPr>
              <w:t>.</w:t>
            </w:r>
          </w:p>
          <w:p w14:paraId="03F76F19" w14:textId="7E380F69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Managing external law firms </w:t>
            </w:r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 xml:space="preserve">for PIDG Ltd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as and when required (including</w:t>
            </w:r>
            <w:r w:rsidR="0091312D" w:rsidRPr="00BD47DC">
              <w:rPr>
                <w:rFonts w:asciiTheme="minorHAnsi" w:hAnsiTheme="minorHAnsi" w:cs="Calibri"/>
                <w:sz w:val="20"/>
                <w:szCs w:val="20"/>
              </w:rPr>
              <w:t xml:space="preserve"> supporting the </w:t>
            </w:r>
            <w:r w:rsidR="00AD773E" w:rsidRPr="00BD47DC">
              <w:rPr>
                <w:rFonts w:asciiTheme="minorHAnsi" w:hAnsiTheme="minorHAnsi" w:cs="Calibri"/>
                <w:sz w:val="20"/>
                <w:szCs w:val="20"/>
              </w:rPr>
              <w:t xml:space="preserve">PIDG </w:t>
            </w:r>
            <w:r w:rsidR="0091312D" w:rsidRPr="00BD47DC">
              <w:rPr>
                <w:rFonts w:asciiTheme="minorHAnsi" w:hAnsiTheme="minorHAnsi" w:cs="Calibri"/>
                <w:sz w:val="20"/>
                <w:szCs w:val="20"/>
              </w:rPr>
              <w:t xml:space="preserve">Head of HR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in relation to employment issues </w:t>
            </w:r>
            <w:r w:rsidR="00BF08C4" w:rsidRPr="00BD47DC">
              <w:rPr>
                <w:rFonts w:asciiTheme="minorHAnsi" w:hAnsiTheme="minorHAnsi" w:cs="Calibri"/>
                <w:sz w:val="20"/>
                <w:szCs w:val="20"/>
              </w:rPr>
              <w:t>when</w:t>
            </w:r>
            <w:r w:rsidR="0091312D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3833E3" w:rsidRPr="00BD47DC">
              <w:rPr>
                <w:rFonts w:asciiTheme="minorHAnsi" w:hAnsiTheme="minorHAnsi" w:cs="Calibri"/>
                <w:sz w:val="20"/>
                <w:szCs w:val="20"/>
              </w:rPr>
              <w:t>required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)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66DD2E5" w14:textId="47B4278E" w:rsidR="00A23B2F" w:rsidRPr="00BD47DC" w:rsidRDefault="00C559E9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In collaboration with </w:t>
            </w:r>
            <w:r w:rsidR="00F57F33" w:rsidRPr="00BD47DC">
              <w:rPr>
                <w:rFonts w:asciiTheme="minorHAnsi" w:hAnsiTheme="minorHAnsi" w:cs="Calibri"/>
                <w:sz w:val="20"/>
                <w:szCs w:val="20"/>
              </w:rPr>
              <w:t>the board and executive team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, p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articipat</w:t>
            </w:r>
            <w:r w:rsidR="00BF08C4" w:rsidRPr="00BD47DC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 in the development and operationalisation of corporate policies, </w:t>
            </w:r>
            <w:proofErr w:type="gramStart"/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procedures</w:t>
            </w:r>
            <w:proofErr w:type="gramEnd"/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 and programmes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7E407999" w14:textId="655E4887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Reviewing advertising, </w:t>
            </w:r>
            <w:proofErr w:type="gramStart"/>
            <w:r w:rsidRPr="00BD47DC">
              <w:rPr>
                <w:rFonts w:asciiTheme="minorHAnsi" w:hAnsiTheme="minorHAnsi" w:cs="Calibri"/>
                <w:sz w:val="20"/>
                <w:szCs w:val="20"/>
              </w:rPr>
              <w:t>marketing</w:t>
            </w:r>
            <w:proofErr w:type="gramEnd"/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and communications materials to ensure that they are in compliance with legal requirements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0A85DDB1" w14:textId="43D75723" w:rsidR="00A23B2F" w:rsidRPr="00BD47DC" w:rsidRDefault="00BD47DC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Ensuring PIDG</w:t>
            </w:r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 xml:space="preserve"> Ltd.’s 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 xml:space="preserve">compliance with 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 xml:space="preserve">applicable </w:t>
            </w:r>
            <w:r w:rsidR="00BE7243" w:rsidRPr="00BD47DC">
              <w:rPr>
                <w:rFonts w:asciiTheme="minorHAnsi" w:hAnsiTheme="minorHAnsi" w:cs="Calibri"/>
                <w:sz w:val="20"/>
                <w:szCs w:val="20"/>
              </w:rPr>
              <w:t xml:space="preserve">data protection laws </w:t>
            </w:r>
            <w:r w:rsidR="00A23B2F" w:rsidRPr="00BD47DC">
              <w:rPr>
                <w:rFonts w:asciiTheme="minorHAnsi" w:hAnsiTheme="minorHAnsi" w:cs="Calibri"/>
                <w:sz w:val="20"/>
                <w:szCs w:val="20"/>
              </w:rPr>
              <w:t>and assistance with the effective management of data protection across the PIDG Group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4C96938F" w14:textId="4B508524" w:rsidR="00A23B2F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Providing training to PIDG Ltd 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 xml:space="preserve">and other members of PIDG (if applicable)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on legal topics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>, e.g</w:t>
            </w:r>
            <w:r w:rsidR="00F46277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 xml:space="preserve"> liability of parent companies for activities of foreign subsidiaries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6620D951" w14:textId="6B109742" w:rsidR="005971DD" w:rsidRPr="00BD47DC" w:rsidRDefault="00C559E9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Deal with complex, significant matters that cut across legal and related </w:t>
            </w:r>
            <w:proofErr w:type="gramStart"/>
            <w:r w:rsidRPr="00BD47DC">
              <w:rPr>
                <w:rFonts w:asciiTheme="minorHAnsi" w:hAnsiTheme="minorHAnsi" w:cs="Calibri"/>
                <w:sz w:val="20"/>
                <w:szCs w:val="20"/>
              </w:rPr>
              <w:t>areas</w:t>
            </w:r>
            <w:r w:rsidR="0091312D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  <w:proofErr w:type="gramEnd"/>
          </w:p>
          <w:p w14:paraId="7DEAF490" w14:textId="48AF28BD" w:rsidR="00AD773E" w:rsidRPr="00BD47DC" w:rsidRDefault="00AD773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Conducting legal research and reviewing company’s litigation strategy pertaining to legal actions.</w:t>
            </w:r>
          </w:p>
          <w:p w14:paraId="71444212" w14:textId="1189E1F8" w:rsidR="00C65BB6" w:rsidRPr="00BD47DC" w:rsidRDefault="00C65BB6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lastRenderedPageBreak/>
              <w:t xml:space="preserve">Provide value for money and introduce efficiencies, opportunities for change and standardisation where appropriate. </w:t>
            </w:r>
          </w:p>
          <w:p w14:paraId="47A7C0FF" w14:textId="77777777" w:rsidR="00A23B2F" w:rsidRPr="00BD47DC" w:rsidRDefault="00A23B2F" w:rsidP="00841872">
            <w:pPr>
              <w:spacing w:after="0" w:line="240" w:lineRule="auto"/>
              <w:ind w:right="261"/>
              <w:rPr>
                <w:b/>
                <w:bCs/>
                <w:sz w:val="20"/>
                <w:szCs w:val="20"/>
              </w:rPr>
            </w:pPr>
            <w:r w:rsidRPr="00BD47DC">
              <w:rPr>
                <w:b/>
                <w:bCs/>
                <w:sz w:val="20"/>
                <w:szCs w:val="20"/>
              </w:rPr>
              <w:t>Contract Management</w:t>
            </w:r>
          </w:p>
          <w:p w14:paraId="5A90C2F2" w14:textId="3AB64211" w:rsidR="00F46277" w:rsidRPr="00BD47DC" w:rsidRDefault="00F46277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Drafting, </w:t>
            </w:r>
            <w:proofErr w:type="gramStart"/>
            <w:r w:rsidRPr="00BD47DC">
              <w:rPr>
                <w:rFonts w:asciiTheme="minorHAnsi" w:hAnsiTheme="minorHAnsi" w:cs="Calibri"/>
                <w:sz w:val="20"/>
                <w:szCs w:val="20"/>
              </w:rPr>
              <w:t>negotiating</w:t>
            </w:r>
            <w:proofErr w:type="gramEnd"/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and arranging execution of financing and other transaction documents with the Owners, the Trust and the Group companies as applicable (acting as “honest broker”)</w:t>
            </w:r>
            <w:r w:rsidR="00BD47DC" w:rsidRPr="00BD47DC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6F470D03" w14:textId="7D116A47" w:rsidR="00F57F33" w:rsidRPr="00BD47DC" w:rsidRDefault="00F57F33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Drafting and maintaining model contracts and tender documents for PIDG Ltd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9EBA94" w14:textId="15FEF969" w:rsidR="00F57F33" w:rsidRPr="00BD47DC" w:rsidRDefault="00F57F33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Overseeing contract management within PIDG Ltd and supporting the procurement team on procurement issues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9A3CDA2" w14:textId="71B2E72A" w:rsidR="00A23B2F" w:rsidRPr="00BD47DC" w:rsidRDefault="00D57F1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Drafting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gramStart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negotiating</w:t>
            </w:r>
            <w:proofErr w:type="gramEnd"/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and coordinating execution of other </w:t>
            </w:r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>agreements and contracts on behalf of PIDG Ltd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6EF96D1" w14:textId="775B3509" w:rsidR="00A23B2F" w:rsidRPr="00BD47DC" w:rsidRDefault="00CA1F1A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Drafting, </w:t>
            </w:r>
            <w:proofErr w:type="gramStart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reviewing</w:t>
            </w:r>
            <w:proofErr w:type="gramEnd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and negotiating 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echnical 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>ssistance</w:t>
            </w: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and other 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rant 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23B2F" w:rsidRPr="00BD47DC">
              <w:rPr>
                <w:rFonts w:asciiTheme="minorHAnsi" w:hAnsiTheme="minorHAnsi" w:cstheme="minorHAnsi"/>
                <w:sz w:val="20"/>
                <w:szCs w:val="20"/>
              </w:rPr>
              <w:t>greements</w:t>
            </w: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between PIDG Trust, PIDG Ltd and the other PIDG companies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0ECDACF" w14:textId="010E8100" w:rsidR="00E74056" w:rsidRPr="00BD47DC" w:rsidRDefault="00A23B2F" w:rsidP="00BD47DC">
            <w:pPr>
              <w:pStyle w:val="ListParagraph"/>
              <w:numPr>
                <w:ilvl w:val="0"/>
                <w:numId w:val="17"/>
              </w:numPr>
              <w:spacing w:beforeAutospacing="1" w:after="0" w:afterAutospacing="1"/>
              <w:ind w:left="580" w:hanging="284"/>
              <w:jc w:val="both"/>
              <w:rPr>
                <w:rFonts w:asciiTheme="minorHAnsi" w:hAnsiTheme="minorHAnsi" w:cstheme="minorHAnsi"/>
                <w:color w:val="212B4C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Advising on contract status, legal risks, and the legal liabilities associated with different transactions at PIDG Ltd level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00E8BA" w14:textId="247791AD" w:rsidR="00D57F1E" w:rsidRPr="00BD47DC" w:rsidRDefault="00D57F1E" w:rsidP="00BD47DC">
            <w:pPr>
              <w:pStyle w:val="ListParagraph"/>
              <w:numPr>
                <w:ilvl w:val="0"/>
                <w:numId w:val="17"/>
              </w:numPr>
              <w:spacing w:beforeAutospacing="1" w:after="0" w:afterAutospacing="1"/>
              <w:ind w:left="580" w:hanging="284"/>
              <w:jc w:val="both"/>
              <w:rPr>
                <w:rFonts w:asciiTheme="minorHAnsi" w:hAnsiTheme="minorHAnsi" w:cstheme="minorHAnsi"/>
                <w:color w:val="212B4C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Providing inputs from a PIDG perspective when required on financing arrangements </w:t>
            </w:r>
            <w:proofErr w:type="gramStart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entered into</w:t>
            </w:r>
            <w:proofErr w:type="gramEnd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by PIDG companies with third parties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9656AFD" w14:textId="1A1C67ED" w:rsidR="00D57F1E" w:rsidRPr="00BD47DC" w:rsidRDefault="00D57F1E" w:rsidP="00BD47DC">
            <w:pPr>
              <w:pStyle w:val="ListParagraph"/>
              <w:numPr>
                <w:ilvl w:val="0"/>
                <w:numId w:val="17"/>
              </w:numPr>
              <w:spacing w:beforeAutospacing="1" w:after="0" w:afterAutospacing="1"/>
              <w:ind w:left="580" w:hanging="284"/>
              <w:jc w:val="both"/>
              <w:rPr>
                <w:rFonts w:asciiTheme="minorHAnsi" w:hAnsiTheme="minorHAnsi" w:cstheme="minorHAnsi"/>
                <w:color w:val="212B4C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Drafting model clauses on cross-cutting issues for use by all PIDG companies, </w:t>
            </w:r>
            <w:proofErr w:type="spellStart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>e.g</w:t>
            </w:r>
            <w:proofErr w:type="spellEnd"/>
            <w:r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HSES and climate</w:t>
            </w:r>
            <w:r w:rsidR="00F46277" w:rsidRPr="00BD47DC">
              <w:rPr>
                <w:rFonts w:asciiTheme="minorHAnsi" w:hAnsiTheme="minorHAnsi" w:cstheme="minorHAnsi"/>
                <w:sz w:val="20"/>
                <w:szCs w:val="20"/>
              </w:rPr>
              <w:t xml:space="preserve"> change</w:t>
            </w:r>
            <w:r w:rsidR="00BD47DC" w:rsidRPr="00BD47D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3C9E55" w14:textId="6EE80A7E" w:rsidR="00C559E9" w:rsidRPr="00BD47DC" w:rsidRDefault="00C559E9" w:rsidP="00841872">
            <w:pPr>
              <w:spacing w:after="0" w:line="240" w:lineRule="auto"/>
              <w:jc w:val="both"/>
              <w:rPr>
                <w:rFonts w:cstheme="minorHAnsi"/>
                <w:color w:val="212B4C"/>
                <w:sz w:val="20"/>
                <w:szCs w:val="20"/>
              </w:rPr>
            </w:pPr>
            <w:r w:rsidRPr="00BD47DC">
              <w:rPr>
                <w:rFonts w:cstheme="minorHAnsi"/>
                <w:b/>
                <w:bCs/>
                <w:sz w:val="20"/>
                <w:szCs w:val="20"/>
              </w:rPr>
              <w:t>General</w:t>
            </w:r>
          </w:p>
          <w:p w14:paraId="14DE3AC2" w14:textId="77777777" w:rsidR="00C559E9" w:rsidRPr="00BD47DC" w:rsidRDefault="00C559E9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theme="minorHAnsi"/>
                <w:color w:val="333E49"/>
                <w:sz w:val="20"/>
                <w:szCs w:val="20"/>
                <w:shd w:val="clear" w:color="auto" w:fill="FFFFFF"/>
              </w:rPr>
            </w:pPr>
            <w:r w:rsidRPr="00BD47DC">
              <w:rPr>
                <w:rFonts w:asciiTheme="minorHAnsi" w:hAnsiTheme="minorHAnsi" w:cstheme="minorHAnsi"/>
                <w:color w:val="333E49"/>
                <w:sz w:val="20"/>
                <w:szCs w:val="20"/>
                <w:shd w:val="clear" w:color="auto" w:fill="FFFFFF"/>
              </w:rPr>
              <w:t>Attract, develop, direct, motivate and drive performance from team</w:t>
            </w:r>
          </w:p>
          <w:p w14:paraId="51CBDCB0" w14:textId="3EEA1A0D" w:rsidR="00C559E9" w:rsidRPr="00BD47DC" w:rsidRDefault="00C559E9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D47DC">
              <w:rPr>
                <w:rFonts w:asciiTheme="minorHAnsi" w:hAnsiTheme="minorHAnsi" w:cstheme="minorHAnsi"/>
                <w:color w:val="333E49"/>
                <w:sz w:val="20"/>
                <w:szCs w:val="20"/>
                <w:shd w:val="clear" w:color="auto" w:fill="FFFFFF"/>
              </w:rPr>
              <w:t xml:space="preserve">Base your </w:t>
            </w:r>
            <w:r w:rsidR="00DC41B6" w:rsidRPr="00BD47DC">
              <w:rPr>
                <w:rFonts w:asciiTheme="minorHAnsi" w:hAnsiTheme="minorHAnsi" w:cstheme="minorHAnsi"/>
                <w:color w:val="333E49"/>
                <w:sz w:val="20"/>
                <w:szCs w:val="20"/>
                <w:shd w:val="clear" w:color="auto" w:fill="FFFFFF"/>
              </w:rPr>
              <w:t>decision-making</w:t>
            </w:r>
            <w:r w:rsidRPr="00BD47DC">
              <w:rPr>
                <w:rFonts w:asciiTheme="minorHAnsi" w:hAnsiTheme="minorHAnsi" w:cstheme="minorHAnsi"/>
                <w:color w:val="333E49"/>
                <w:sz w:val="20"/>
                <w:szCs w:val="20"/>
                <w:shd w:val="clear" w:color="auto" w:fill="FFFFFF"/>
              </w:rPr>
              <w:t xml:space="preserve"> process on ethics and integrity</w:t>
            </w:r>
          </w:p>
          <w:p w14:paraId="789DC022" w14:textId="77777777" w:rsidR="00BE4ADB" w:rsidRPr="00BD47DC" w:rsidRDefault="00155FEA" w:rsidP="00841872">
            <w:pPr>
              <w:spacing w:after="0" w:line="240" w:lineRule="auto"/>
              <w:jc w:val="both"/>
              <w:rPr>
                <w:rFonts w:cstheme="minorHAnsi"/>
                <w:b/>
                <w:color w:val="212B4C"/>
                <w:sz w:val="20"/>
                <w:szCs w:val="20"/>
                <w:lang w:eastAsia="ja-JP"/>
              </w:rPr>
            </w:pPr>
            <w:r w:rsidRPr="00BD47DC">
              <w:rPr>
                <w:rFonts w:cstheme="minorHAnsi"/>
                <w:b/>
                <w:color w:val="212B4C"/>
                <w:sz w:val="20"/>
                <w:szCs w:val="20"/>
                <w:lang w:eastAsia="ja-JP"/>
              </w:rPr>
              <w:t>QUALIFICATIONS AND EDUCATION REQUIREMENTS</w:t>
            </w:r>
          </w:p>
          <w:p w14:paraId="38F428AF" w14:textId="77777777" w:rsidR="00841872" w:rsidRDefault="00841872" w:rsidP="00841872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7E01C3BF" w14:textId="028B66D2" w:rsidR="00DC41B6" w:rsidRPr="00BD47DC" w:rsidRDefault="00DC41B6" w:rsidP="00841872">
            <w:pPr>
              <w:spacing w:after="0" w:line="240" w:lineRule="auto"/>
              <w:jc w:val="both"/>
              <w:rPr>
                <w:rFonts w:cstheme="minorHAnsi"/>
                <w:color w:val="212B4C"/>
                <w:sz w:val="20"/>
                <w:szCs w:val="20"/>
              </w:rPr>
            </w:pPr>
            <w:r w:rsidRPr="00BD47DC">
              <w:rPr>
                <w:b/>
                <w:bCs/>
                <w:sz w:val="20"/>
                <w:szCs w:val="20"/>
              </w:rPr>
              <w:t>Skills</w:t>
            </w:r>
            <w:r w:rsidR="00AD773E" w:rsidRPr="00BD47DC">
              <w:rPr>
                <w:b/>
                <w:bCs/>
                <w:sz w:val="20"/>
                <w:szCs w:val="20"/>
              </w:rPr>
              <w:t xml:space="preserve"> and Qualifications</w:t>
            </w:r>
          </w:p>
          <w:p w14:paraId="7D73D2F3" w14:textId="58A4CA9E" w:rsidR="003F6DBE" w:rsidRPr="00BD47DC" w:rsidRDefault="003F6DBE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Qualified solicitor in England and Wales, with senior experience in private practice or in-house</w:t>
            </w:r>
            <w:r w:rsidR="00BF08C4" w:rsidRPr="00BD47DC">
              <w:rPr>
                <w:rFonts w:asciiTheme="minorHAnsi" w:hAnsiTheme="minorHAnsi" w:cs="Calibri"/>
                <w:sz w:val="20"/>
                <w:szCs w:val="20"/>
              </w:rPr>
              <w:t>. It is anticipated that the candidate will have a minimum of 12 years PQE.</w:t>
            </w:r>
          </w:p>
          <w:p w14:paraId="4EA1044B" w14:textId="77777777" w:rsidR="0002315E" w:rsidRPr="00BD47DC" w:rsidRDefault="0002315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Ability to build strong relationships with internal clients and legal stakeholders and act as a business enabler</w:t>
            </w:r>
          </w:p>
          <w:p w14:paraId="2D20FF7F" w14:textId="757468EA" w:rsidR="00632BA8" w:rsidRPr="00BD47DC" w:rsidRDefault="00632BA8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sz w:val="20"/>
                <w:szCs w:val="20"/>
              </w:rPr>
              <w:t xml:space="preserve">Credibility &amp; gravitas with </w:t>
            </w:r>
            <w:r w:rsidR="00F46277" w:rsidRPr="00BD47DC">
              <w:rPr>
                <w:sz w:val="20"/>
                <w:szCs w:val="20"/>
              </w:rPr>
              <w:t>s</w:t>
            </w:r>
            <w:r w:rsidRPr="00BD47DC">
              <w:rPr>
                <w:sz w:val="20"/>
                <w:szCs w:val="20"/>
              </w:rPr>
              <w:t xml:space="preserve">enior </w:t>
            </w:r>
            <w:r w:rsidR="00F46277" w:rsidRPr="00BD47DC">
              <w:rPr>
                <w:sz w:val="20"/>
                <w:szCs w:val="20"/>
              </w:rPr>
              <w:t>m</w:t>
            </w:r>
            <w:r w:rsidRPr="00BD47DC">
              <w:rPr>
                <w:sz w:val="20"/>
                <w:szCs w:val="20"/>
              </w:rPr>
              <w:t>anagement, investment professionals and other key stakeholders is integral to this position.</w:t>
            </w:r>
          </w:p>
          <w:p w14:paraId="122E8219" w14:textId="18DC19A0" w:rsidR="0002315E" w:rsidRPr="00BD47DC" w:rsidRDefault="0002315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Creative problem solver with a pragmatic approach that balances legal risk and enables business objectives</w:t>
            </w:r>
          </w:p>
          <w:p w14:paraId="19326EDB" w14:textId="1D3AE2F5" w:rsidR="00E74056" w:rsidRPr="00BD47DC" w:rsidRDefault="0002315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Excellent verbal and written communication skills.</w:t>
            </w:r>
          </w:p>
          <w:p w14:paraId="77218E38" w14:textId="17BEED20" w:rsidR="00951191" w:rsidRPr="00BD47DC" w:rsidRDefault="00951191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Be a strong team player</w:t>
            </w:r>
            <w:r w:rsidR="00632BA8" w:rsidRPr="00BD47DC">
              <w:rPr>
                <w:rFonts w:asciiTheme="minorHAnsi" w:hAnsiTheme="minorHAnsi" w:cs="Calibri"/>
                <w:sz w:val="20"/>
                <w:szCs w:val="20"/>
              </w:rPr>
              <w:t>, who can work collaboratively with the other Lawyers, support services and internal clients.</w:t>
            </w:r>
          </w:p>
          <w:p w14:paraId="3744E24F" w14:textId="7C2768C1" w:rsidR="00951191" w:rsidRPr="00BD47DC" w:rsidRDefault="00951191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Strong influencing skills to be able to gain buy in from a whole range of stakeholders</w:t>
            </w:r>
          </w:p>
          <w:p w14:paraId="54010479" w14:textId="3E8A5004" w:rsidR="00E74056" w:rsidRPr="00BD47DC" w:rsidRDefault="00951191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Be culturally aware</w:t>
            </w:r>
          </w:p>
          <w:p w14:paraId="017E3C11" w14:textId="4AB52913" w:rsidR="004F0963" w:rsidRPr="00BD47DC" w:rsidRDefault="004F0963" w:rsidP="00841872">
            <w:pPr>
              <w:spacing w:after="0" w:line="240" w:lineRule="auto"/>
              <w:jc w:val="both"/>
              <w:rPr>
                <w:rFonts w:eastAsia="Times New Roman"/>
                <w:b/>
                <w:color w:val="212B4C"/>
                <w:sz w:val="20"/>
                <w:szCs w:val="20"/>
                <w:lang w:eastAsia="en-GB"/>
              </w:rPr>
            </w:pPr>
            <w:r w:rsidRPr="00BD47DC">
              <w:rPr>
                <w:b/>
                <w:bCs/>
                <w:sz w:val="20"/>
                <w:szCs w:val="20"/>
              </w:rPr>
              <w:t>E</w:t>
            </w:r>
            <w:r w:rsidR="00DC41B6" w:rsidRPr="00BD47DC">
              <w:rPr>
                <w:b/>
                <w:bCs/>
                <w:sz w:val="20"/>
                <w:szCs w:val="20"/>
              </w:rPr>
              <w:t>xperience</w:t>
            </w:r>
          </w:p>
          <w:p w14:paraId="24ED26E6" w14:textId="0BB20057" w:rsidR="00D57F1E" w:rsidRPr="00BD47DC" w:rsidRDefault="00D57F1E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A good understanding of issues that may arise when negotiating</w:t>
            </w:r>
            <w:r w:rsidR="00F46277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agreements with government counterparts in different jurisdictions</w:t>
            </w:r>
          </w:p>
          <w:p w14:paraId="38FA1701" w14:textId="5C53B12B" w:rsidR="00D57F1E" w:rsidRPr="00BD47DC" w:rsidRDefault="00D57F1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Experience with negotiating public sector funding documentation</w:t>
            </w:r>
          </w:p>
          <w:p w14:paraId="0C75CA83" w14:textId="5F8B7538" w:rsidR="00E8080E" w:rsidRPr="00BD47DC" w:rsidRDefault="00E8080E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Broad legal background, including experience drafting, reviewing &amp; negotiating general commercial contracts including 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>supply</w:t>
            </w:r>
            <w:r w:rsidR="00EC2638" w:rsidRPr="00BD47D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contracts, intellectual property, data </w:t>
            </w:r>
            <w:r w:rsidR="00D57F1E" w:rsidRPr="00BD47DC">
              <w:rPr>
                <w:rFonts w:asciiTheme="minorHAnsi" w:hAnsiTheme="minorHAnsi" w:cs="Calibri"/>
                <w:sz w:val="20"/>
                <w:szCs w:val="20"/>
              </w:rPr>
              <w:t>protection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and regulatory matters</w:t>
            </w:r>
          </w:p>
          <w:p w14:paraId="16527D1D" w14:textId="16019EA5" w:rsidR="00155FEA" w:rsidRPr="00BD47DC" w:rsidRDefault="00C0678A" w:rsidP="00BD47DC">
            <w:pPr>
              <w:pStyle w:val="ListParagraph"/>
              <w:numPr>
                <w:ilvl w:val="0"/>
                <w:numId w:val="17"/>
              </w:numPr>
              <w:spacing w:before="100" w:beforeAutospacing="1" w:after="100" w:afterAutospacing="1"/>
              <w:ind w:left="580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>E</w:t>
            </w:r>
            <w:r w:rsidR="00F12162" w:rsidRPr="00BD47DC">
              <w:rPr>
                <w:rFonts w:asciiTheme="minorHAnsi" w:hAnsiTheme="minorHAnsi" w:cs="Calibri"/>
                <w:sz w:val="20"/>
                <w:szCs w:val="20"/>
              </w:rPr>
              <w:t xml:space="preserve">xperience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managing </w:t>
            </w:r>
            <w:r w:rsidR="00F12162" w:rsidRPr="00BD47DC">
              <w:rPr>
                <w:rFonts w:asciiTheme="minorHAnsi" w:hAnsiTheme="minorHAnsi" w:cs="Calibri"/>
                <w:sz w:val="20"/>
                <w:szCs w:val="20"/>
              </w:rPr>
              <w:t>the complexities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 of legal matters </w:t>
            </w:r>
            <w:r w:rsidR="00F12162" w:rsidRPr="00BD47DC">
              <w:rPr>
                <w:rFonts w:asciiTheme="minorHAnsi" w:hAnsiTheme="minorHAnsi" w:cs="Calibri"/>
                <w:sz w:val="20"/>
                <w:szCs w:val="20"/>
              </w:rPr>
              <w:t xml:space="preserve">that arise from a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company with multiple cross-jurisdictional entities and part of a </w:t>
            </w:r>
            <w:r w:rsidR="00F12162" w:rsidRPr="00BD47DC">
              <w:rPr>
                <w:rFonts w:asciiTheme="minorHAnsi" w:hAnsiTheme="minorHAnsi" w:cs="Calibri"/>
                <w:sz w:val="20"/>
                <w:szCs w:val="20"/>
              </w:rPr>
              <w:t xml:space="preserve">group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structure. </w:t>
            </w:r>
          </w:p>
          <w:p w14:paraId="7F9FC292" w14:textId="4E08C008" w:rsidR="001F2135" w:rsidRPr="00BD47DC" w:rsidRDefault="001F2135" w:rsidP="00D5511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79" w:hanging="284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BD47DC">
              <w:rPr>
                <w:rFonts w:asciiTheme="minorHAnsi" w:hAnsiTheme="minorHAnsi" w:cs="Calibri"/>
                <w:sz w:val="20"/>
                <w:szCs w:val="20"/>
              </w:rPr>
              <w:t xml:space="preserve">Experience of working with </w:t>
            </w:r>
            <w:r w:rsidR="00F46277" w:rsidRPr="00BD47DC">
              <w:rPr>
                <w:rFonts w:asciiTheme="minorHAnsi" w:hAnsiTheme="minorHAnsi" w:cs="Calibri"/>
                <w:sz w:val="20"/>
                <w:szCs w:val="20"/>
              </w:rPr>
              <w:t xml:space="preserve">entities in </w:t>
            </w:r>
            <w:r w:rsidRPr="00BD47DC">
              <w:rPr>
                <w:rFonts w:asciiTheme="minorHAnsi" w:hAnsiTheme="minorHAnsi" w:cs="Calibri"/>
                <w:sz w:val="20"/>
                <w:szCs w:val="20"/>
              </w:rPr>
              <w:t>Asia and Africa would be an advantage</w:t>
            </w:r>
          </w:p>
          <w:p w14:paraId="5325D8C8" w14:textId="77777777" w:rsidR="00D55114" w:rsidRDefault="00D55114" w:rsidP="00475375">
            <w:pPr>
              <w:pStyle w:val="Heading2"/>
              <w:spacing w:before="0" w:after="0"/>
              <w:jc w:val="center"/>
              <w:rPr>
                <w:rFonts w:cstheme="minorHAnsi"/>
                <w:color w:val="225374"/>
                <w:szCs w:val="20"/>
              </w:rPr>
            </w:pPr>
          </w:p>
          <w:p w14:paraId="1996A362" w14:textId="6AA19033" w:rsidR="00155FEA" w:rsidRPr="00475375" w:rsidRDefault="00BE4ADB" w:rsidP="00475375">
            <w:pPr>
              <w:pStyle w:val="Heading2"/>
              <w:spacing w:before="0" w:after="0"/>
              <w:jc w:val="center"/>
              <w:rPr>
                <w:rFonts w:asciiTheme="minorHAnsi" w:hAnsiTheme="minorHAnsi" w:cstheme="minorHAnsi"/>
                <w:color w:val="225374"/>
                <w:szCs w:val="20"/>
              </w:rPr>
            </w:pPr>
            <w:r w:rsidRPr="00BD47DC">
              <w:rPr>
                <w:rFonts w:cstheme="minorHAnsi"/>
                <w:color w:val="225374"/>
                <w:szCs w:val="20"/>
              </w:rPr>
              <w:t xml:space="preserve">PIDG is an equal opportunities employer and values the diversity of all its employees, associates, </w:t>
            </w:r>
            <w:r w:rsidR="00C02DA1" w:rsidRPr="00BD47DC">
              <w:rPr>
                <w:rFonts w:cstheme="minorHAnsi"/>
                <w:color w:val="225374"/>
                <w:szCs w:val="20"/>
              </w:rPr>
              <w:t>owners</w:t>
            </w:r>
            <w:r w:rsidRPr="00BD47DC">
              <w:rPr>
                <w:rFonts w:cstheme="minorHAnsi"/>
                <w:color w:val="225374"/>
                <w:szCs w:val="20"/>
              </w:rPr>
              <w:t>, service providers and customers</w:t>
            </w:r>
          </w:p>
        </w:tc>
      </w:tr>
    </w:tbl>
    <w:p w14:paraId="6FAADEED" w14:textId="77777777" w:rsidR="00386B11" w:rsidRPr="00BD47DC" w:rsidRDefault="00386B11" w:rsidP="00D55114">
      <w:pPr>
        <w:rPr>
          <w:sz w:val="20"/>
          <w:szCs w:val="20"/>
        </w:rPr>
      </w:pPr>
    </w:p>
    <w:sectPr w:rsidR="00386B11" w:rsidRPr="00BD47DC" w:rsidSect="000F7DEC">
      <w:headerReference w:type="default" r:id="rId11"/>
      <w:headerReference w:type="first" r:id="rId12"/>
      <w:pgSz w:w="11906" w:h="16838"/>
      <w:pgMar w:top="2269" w:right="1440" w:bottom="851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33CF0" w14:textId="77777777" w:rsidR="001D3CA7" w:rsidRDefault="001D3CA7" w:rsidP="005F1573">
      <w:pPr>
        <w:spacing w:after="0" w:line="240" w:lineRule="auto"/>
      </w:pPr>
      <w:r>
        <w:separator/>
      </w:r>
    </w:p>
  </w:endnote>
  <w:endnote w:type="continuationSeparator" w:id="0">
    <w:p w14:paraId="05E0F079" w14:textId="77777777" w:rsidR="001D3CA7" w:rsidRDefault="001D3CA7" w:rsidP="005F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0086E" w14:textId="77777777" w:rsidR="001D3CA7" w:rsidRDefault="001D3CA7" w:rsidP="005F1573">
      <w:pPr>
        <w:spacing w:after="0" w:line="240" w:lineRule="auto"/>
      </w:pPr>
      <w:r>
        <w:separator/>
      </w:r>
    </w:p>
  </w:footnote>
  <w:footnote w:type="continuationSeparator" w:id="0">
    <w:p w14:paraId="080957D2" w14:textId="77777777" w:rsidR="001D3CA7" w:rsidRDefault="001D3CA7" w:rsidP="005F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9447" w14:textId="77777777" w:rsidR="005F1573" w:rsidRDefault="002831E5" w:rsidP="000F7DEC">
    <w:pPr>
      <w:tabs>
        <w:tab w:val="left" w:pos="95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FCD89" w14:textId="77777777" w:rsidR="002831E5" w:rsidRDefault="002831E5">
    <w:pPr>
      <w:pStyle w:val="Header"/>
    </w:pPr>
    <w:r>
      <w:rPr>
        <w:noProof/>
        <w:color w:val="225374"/>
        <w:sz w:val="16"/>
        <w:szCs w:val="16"/>
      </w:rPr>
      <w:drawing>
        <wp:anchor distT="0" distB="0" distL="114300" distR="114300" simplePos="0" relativeHeight="251661312" behindDoc="1" locked="0" layoutInCell="1" allowOverlap="1" wp14:anchorId="6AE34E0F" wp14:editId="2D368BEA">
          <wp:simplePos x="0" y="0"/>
          <wp:positionH relativeFrom="column">
            <wp:posOffset>-361950</wp:posOffset>
          </wp:positionH>
          <wp:positionV relativeFrom="paragraph">
            <wp:posOffset>-635</wp:posOffset>
          </wp:positionV>
          <wp:extent cx="1973896" cy="845243"/>
          <wp:effectExtent l="0" t="0" r="7304" b="0"/>
          <wp:wrapNone/>
          <wp:docPr id="84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3896" cy="8452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6289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805C8"/>
    <w:multiLevelType w:val="hybridMultilevel"/>
    <w:tmpl w:val="15B29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5B2"/>
    <w:multiLevelType w:val="hybridMultilevel"/>
    <w:tmpl w:val="46CED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483F"/>
    <w:multiLevelType w:val="multilevel"/>
    <w:tmpl w:val="AD10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10195"/>
    <w:multiLevelType w:val="hybridMultilevel"/>
    <w:tmpl w:val="9F9A5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2E8D"/>
    <w:multiLevelType w:val="multilevel"/>
    <w:tmpl w:val="25A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F043D"/>
    <w:multiLevelType w:val="hybridMultilevel"/>
    <w:tmpl w:val="E1EA82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40324C"/>
    <w:multiLevelType w:val="hybridMultilevel"/>
    <w:tmpl w:val="986A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760C"/>
    <w:multiLevelType w:val="hybridMultilevel"/>
    <w:tmpl w:val="13A8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12F8D"/>
    <w:multiLevelType w:val="multilevel"/>
    <w:tmpl w:val="D82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764D1C"/>
    <w:multiLevelType w:val="hybridMultilevel"/>
    <w:tmpl w:val="EDA2F5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146C"/>
    <w:multiLevelType w:val="multilevel"/>
    <w:tmpl w:val="4B8A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4C4FEB"/>
    <w:multiLevelType w:val="hybridMultilevel"/>
    <w:tmpl w:val="FDBCA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54ED6"/>
    <w:multiLevelType w:val="hybridMultilevel"/>
    <w:tmpl w:val="7AEC1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36B43"/>
    <w:multiLevelType w:val="hybridMultilevel"/>
    <w:tmpl w:val="5660F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C079AA"/>
    <w:multiLevelType w:val="multilevel"/>
    <w:tmpl w:val="60EC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1D2C51"/>
    <w:multiLevelType w:val="hybridMultilevel"/>
    <w:tmpl w:val="C15C7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51AAA"/>
    <w:multiLevelType w:val="hybridMultilevel"/>
    <w:tmpl w:val="5E70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6267D"/>
    <w:multiLevelType w:val="hybridMultilevel"/>
    <w:tmpl w:val="735C1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2"/>
  </w:num>
  <w:num w:numId="6">
    <w:abstractNumId w:val="18"/>
  </w:num>
  <w:num w:numId="7">
    <w:abstractNumId w:val="3"/>
  </w:num>
  <w:num w:numId="8">
    <w:abstractNumId w:val="9"/>
  </w:num>
  <w:num w:numId="9">
    <w:abstractNumId w:val="15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"/>
  </w:num>
  <w:num w:numId="17">
    <w:abstractNumId w:val="6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43"/>
    <w:rsid w:val="00006DD0"/>
    <w:rsid w:val="00016868"/>
    <w:rsid w:val="0002315E"/>
    <w:rsid w:val="00026404"/>
    <w:rsid w:val="000F7DEC"/>
    <w:rsid w:val="00152AEA"/>
    <w:rsid w:val="00155FEA"/>
    <w:rsid w:val="001D3CA7"/>
    <w:rsid w:val="001F2135"/>
    <w:rsid w:val="00237860"/>
    <w:rsid w:val="002504CD"/>
    <w:rsid w:val="002831E5"/>
    <w:rsid w:val="002E5DE9"/>
    <w:rsid w:val="002F1B30"/>
    <w:rsid w:val="00303F16"/>
    <w:rsid w:val="00307D02"/>
    <w:rsid w:val="003833E3"/>
    <w:rsid w:val="00386B11"/>
    <w:rsid w:val="003A52B9"/>
    <w:rsid w:val="003B6E91"/>
    <w:rsid w:val="003C5084"/>
    <w:rsid w:val="003F6DBE"/>
    <w:rsid w:val="00474BBD"/>
    <w:rsid w:val="00475375"/>
    <w:rsid w:val="004A6D5E"/>
    <w:rsid w:val="004F0963"/>
    <w:rsid w:val="005239B7"/>
    <w:rsid w:val="00554A84"/>
    <w:rsid w:val="005971DD"/>
    <w:rsid w:val="005B7351"/>
    <w:rsid w:val="005D5443"/>
    <w:rsid w:val="005F1573"/>
    <w:rsid w:val="006014AC"/>
    <w:rsid w:val="006144B5"/>
    <w:rsid w:val="00632BA8"/>
    <w:rsid w:val="00640A22"/>
    <w:rsid w:val="00686143"/>
    <w:rsid w:val="006B28FF"/>
    <w:rsid w:val="006D1041"/>
    <w:rsid w:val="00714A9C"/>
    <w:rsid w:val="0075087D"/>
    <w:rsid w:val="007D2251"/>
    <w:rsid w:val="007E2A86"/>
    <w:rsid w:val="008332ED"/>
    <w:rsid w:val="00841872"/>
    <w:rsid w:val="0086282D"/>
    <w:rsid w:val="008648AC"/>
    <w:rsid w:val="008B6C74"/>
    <w:rsid w:val="008C402A"/>
    <w:rsid w:val="008E0D46"/>
    <w:rsid w:val="009033E9"/>
    <w:rsid w:val="00911F9F"/>
    <w:rsid w:val="0091312D"/>
    <w:rsid w:val="00921C0A"/>
    <w:rsid w:val="00937910"/>
    <w:rsid w:val="00951191"/>
    <w:rsid w:val="009A6373"/>
    <w:rsid w:val="00A15720"/>
    <w:rsid w:val="00A23B2F"/>
    <w:rsid w:val="00AD773E"/>
    <w:rsid w:val="00B14ADB"/>
    <w:rsid w:val="00B30732"/>
    <w:rsid w:val="00BB254A"/>
    <w:rsid w:val="00BB79CB"/>
    <w:rsid w:val="00BD47DC"/>
    <w:rsid w:val="00BE4ADB"/>
    <w:rsid w:val="00BE7243"/>
    <w:rsid w:val="00BF08C4"/>
    <w:rsid w:val="00C02DA1"/>
    <w:rsid w:val="00C0678A"/>
    <w:rsid w:val="00C12736"/>
    <w:rsid w:val="00C21247"/>
    <w:rsid w:val="00C4729F"/>
    <w:rsid w:val="00C559E9"/>
    <w:rsid w:val="00C65BB6"/>
    <w:rsid w:val="00C83EBE"/>
    <w:rsid w:val="00CA1F1A"/>
    <w:rsid w:val="00CC1898"/>
    <w:rsid w:val="00CD0FEF"/>
    <w:rsid w:val="00D2469D"/>
    <w:rsid w:val="00D32888"/>
    <w:rsid w:val="00D53A52"/>
    <w:rsid w:val="00D55114"/>
    <w:rsid w:val="00D57F1E"/>
    <w:rsid w:val="00D7294D"/>
    <w:rsid w:val="00D9698A"/>
    <w:rsid w:val="00DC41B6"/>
    <w:rsid w:val="00DD05CF"/>
    <w:rsid w:val="00E35A8A"/>
    <w:rsid w:val="00E63E36"/>
    <w:rsid w:val="00E74056"/>
    <w:rsid w:val="00E75DB0"/>
    <w:rsid w:val="00E8080E"/>
    <w:rsid w:val="00EA2A4A"/>
    <w:rsid w:val="00EA497D"/>
    <w:rsid w:val="00EB70E8"/>
    <w:rsid w:val="00EC2638"/>
    <w:rsid w:val="00ED29B4"/>
    <w:rsid w:val="00ED3CD7"/>
    <w:rsid w:val="00ED5330"/>
    <w:rsid w:val="00F12162"/>
    <w:rsid w:val="00F22FDB"/>
    <w:rsid w:val="00F308ED"/>
    <w:rsid w:val="00F46277"/>
    <w:rsid w:val="00F57F33"/>
    <w:rsid w:val="00F76B17"/>
    <w:rsid w:val="00F843DE"/>
    <w:rsid w:val="00FD3A94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19E293"/>
  <w15:chartTrackingRefBased/>
  <w15:docId w15:val="{20004867-9A95-44DC-B31A-67BAF3FE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4BBD"/>
    <w:pPr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474BBD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573"/>
  </w:style>
  <w:style w:type="paragraph" w:styleId="Footer">
    <w:name w:val="footer"/>
    <w:basedOn w:val="Normal"/>
    <w:link w:val="FooterChar"/>
    <w:uiPriority w:val="99"/>
    <w:unhideWhenUsed/>
    <w:rsid w:val="005F1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73"/>
  </w:style>
  <w:style w:type="paragraph" w:styleId="NormalWeb">
    <w:name w:val="Normal (Web)"/>
    <w:basedOn w:val="Normal"/>
    <w:uiPriority w:val="99"/>
    <w:unhideWhenUsed/>
    <w:rsid w:val="00303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B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4BBD"/>
    <w:rPr>
      <w:rFonts w:asciiTheme="majorHAnsi" w:eastAsiaTheme="majorEastAsia" w:hAnsiTheme="majorHAnsi" w:cstheme="majorBidi"/>
      <w:b/>
      <w:smallCaps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74BBD"/>
    <w:rPr>
      <w:rFonts w:asciiTheme="majorHAnsi" w:eastAsiaTheme="majorEastAsia" w:hAnsiTheme="majorHAnsi" w:cstheme="majorBidi"/>
      <w:b/>
      <w:sz w:val="20"/>
      <w:szCs w:val="26"/>
      <w:lang w:val="en-US" w:eastAsia="ja-JP"/>
    </w:rPr>
  </w:style>
  <w:style w:type="paragraph" w:styleId="ListNumber">
    <w:name w:val="List Number"/>
    <w:basedOn w:val="Normal"/>
    <w:uiPriority w:val="10"/>
    <w:rsid w:val="00474BBD"/>
    <w:pPr>
      <w:numPr>
        <w:numId w:val="1"/>
      </w:numPr>
      <w:spacing w:before="30" w:after="30" w:line="240" w:lineRule="auto"/>
    </w:pPr>
    <w:rPr>
      <w:rFonts w:eastAsiaTheme="minorEastAsia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474BB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F2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98CF49F0034C459CEAB780C5EE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2D3DC-9171-4A07-B35E-947C2EF07E41}"/>
      </w:docPartPr>
      <w:docPartBody>
        <w:p w:rsidR="00B20B38" w:rsidRDefault="00C1040A" w:rsidP="00C1040A">
          <w:pPr>
            <w:pStyle w:val="EC98CF49F0034C459CEAB780C5EE0A69"/>
          </w:pPr>
          <w:r>
            <w:t>Location</w:t>
          </w:r>
        </w:p>
      </w:docPartBody>
    </w:docPart>
    <w:docPart>
      <w:docPartPr>
        <w:name w:val="E96402D627814F448362429A2391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A3A92-EDC1-4CCB-A593-21A00A133A6E}"/>
      </w:docPartPr>
      <w:docPartBody>
        <w:p w:rsidR="00B20B38" w:rsidRDefault="00C1040A" w:rsidP="00C1040A">
          <w:pPr>
            <w:pStyle w:val="E96402D627814F448362429A2391684A"/>
          </w:pPr>
          <w:r>
            <w:t>Travel Required</w:t>
          </w:r>
        </w:p>
      </w:docPartBody>
    </w:docPart>
    <w:docPart>
      <w:docPartPr>
        <w:name w:val="9D81113B42F749D394C8AADE2A24B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D936-A3C3-4C1E-9BEB-6F15301E58C1}"/>
      </w:docPartPr>
      <w:docPartBody>
        <w:p w:rsidR="00B20B38" w:rsidRDefault="00C1040A" w:rsidP="00C1040A">
          <w:pPr>
            <w:pStyle w:val="9D81113B42F749D394C8AADE2A24B07D"/>
          </w:pPr>
          <w:r>
            <w:t>Position Type</w:t>
          </w:r>
        </w:p>
      </w:docPartBody>
    </w:docPart>
    <w:docPart>
      <w:docPartPr>
        <w:name w:val="1FEE9F67A7B0441BA60F549460E59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8C3E3-76D3-4537-AC85-0B0B345D44F4}"/>
      </w:docPartPr>
      <w:docPartBody>
        <w:p w:rsidR="00B20B38" w:rsidRDefault="00C1040A" w:rsidP="00C1040A">
          <w:pPr>
            <w:pStyle w:val="1FEE9F67A7B0441BA60F549460E5918A"/>
          </w:pPr>
          <w:r>
            <w:t>Position Type (i.e.: full-time, part-time, job share, contract, intern)</w:t>
          </w:r>
        </w:p>
      </w:docPartBody>
    </w:docPart>
    <w:docPart>
      <w:docPartPr>
        <w:name w:val="9EFD97E5D09C4F8597FDE9B3DA676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63B5-1062-46F6-8FE5-DCDE6430D711}"/>
      </w:docPartPr>
      <w:docPartBody>
        <w:p w:rsidR="00B20B38" w:rsidRDefault="00C1040A" w:rsidP="00C1040A">
          <w:pPr>
            <w:pStyle w:val="9EFD97E5D09C4F8597FDE9B3DA6763AF"/>
          </w:pPr>
          <w:r>
            <w:t>Job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0A"/>
    <w:rsid w:val="00000A74"/>
    <w:rsid w:val="0002309D"/>
    <w:rsid w:val="0033645A"/>
    <w:rsid w:val="004C0B03"/>
    <w:rsid w:val="00606EAE"/>
    <w:rsid w:val="006474E1"/>
    <w:rsid w:val="007E3646"/>
    <w:rsid w:val="00B20B38"/>
    <w:rsid w:val="00BF444A"/>
    <w:rsid w:val="00C1040A"/>
    <w:rsid w:val="00C31CB9"/>
    <w:rsid w:val="00D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98CF49F0034C459CEAB780C5EE0A69">
    <w:name w:val="EC98CF49F0034C459CEAB780C5EE0A69"/>
    <w:rsid w:val="00C1040A"/>
  </w:style>
  <w:style w:type="paragraph" w:customStyle="1" w:styleId="E96402D627814F448362429A2391684A">
    <w:name w:val="E96402D627814F448362429A2391684A"/>
    <w:rsid w:val="00C1040A"/>
  </w:style>
  <w:style w:type="paragraph" w:customStyle="1" w:styleId="9D81113B42F749D394C8AADE2A24B07D">
    <w:name w:val="9D81113B42F749D394C8AADE2A24B07D"/>
    <w:rsid w:val="00C1040A"/>
  </w:style>
  <w:style w:type="paragraph" w:customStyle="1" w:styleId="1FEE9F67A7B0441BA60F549460E5918A">
    <w:name w:val="1FEE9F67A7B0441BA60F549460E5918A"/>
    <w:rsid w:val="00C1040A"/>
  </w:style>
  <w:style w:type="paragraph" w:customStyle="1" w:styleId="9EFD97E5D09C4F8597FDE9B3DA6763AF">
    <w:name w:val="9EFD97E5D09C4F8597FDE9B3DA6763AF"/>
    <w:rsid w:val="00C104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EB73A1AF3B642B3D1FA3E8B822886" ma:contentTypeVersion="8" ma:contentTypeDescription="Create a new document." ma:contentTypeScope="" ma:versionID="2b2d7718fe4f812bd24463458ba59183">
  <xsd:schema xmlns:xsd="http://www.w3.org/2001/XMLSchema" xmlns:xs="http://www.w3.org/2001/XMLSchema" xmlns:p="http://schemas.microsoft.com/office/2006/metadata/properties" xmlns:ns3="1a1983c6-5650-4513-92ac-59a6b7554b21" targetNamespace="http://schemas.microsoft.com/office/2006/metadata/properties" ma:root="true" ma:fieldsID="fe8307805c8908768acbdbd075986b35" ns3:_="">
    <xsd:import namespace="1a1983c6-5650-4513-92ac-59a6b7554b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983c6-5650-4513-92ac-59a6b7554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2E2D42-D758-4525-A96A-27E8DF01F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983c6-5650-4513-92ac-59a6b7554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4E8B4-9C60-4A4A-ACB6-0516C6E160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B89F40-9664-461F-8585-13F82F4EB1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222C4-D93B-41C1-9241-48A8442D1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Menzel</dc:creator>
  <cp:keywords/>
  <dc:description/>
  <cp:lastModifiedBy>Alex Simuyandi</cp:lastModifiedBy>
  <cp:revision>2</cp:revision>
  <cp:lastPrinted>2018-06-07T07:19:00Z</cp:lastPrinted>
  <dcterms:created xsi:type="dcterms:W3CDTF">2021-03-05T15:42:00Z</dcterms:created>
  <dcterms:modified xsi:type="dcterms:W3CDTF">2021-03-05T15:42:00Z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0x01010032EEB73A1AF3B642B3D1FA3E8B822886</vt:lpwstr>
  </property>
</Properties>
</file>